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Times New Roman" w:eastAsia="黑体" w:cs="黑体"/>
          <w:color w:val="000000"/>
        </w:rPr>
      </w:pPr>
      <w:bookmarkStart w:id="1" w:name="_GoBack"/>
      <w:bookmarkEnd w:id="1"/>
      <w:bookmarkStart w:id="0" w:name="YS040100"/>
    </w:p>
    <w:p>
      <w:pPr>
        <w:jc w:val="center"/>
        <w:rPr>
          <w:rFonts w:ascii="黑体" w:hAnsi="Times New Roman" w:eastAsia="黑体" w:cs="黑体"/>
          <w:color w:val="000000"/>
        </w:rPr>
      </w:pPr>
    </w:p>
    <w:bookmarkEnd w:id="0"/>
    <w:p>
      <w:pPr>
        <w:jc w:val="center"/>
        <w:rPr>
          <w:rFonts w:ascii="华文中宋" w:hAnsi="华文中宋" w:eastAsia="华文中宋" w:cs="黑体"/>
          <w:color w:val="000000"/>
          <w:sz w:val="36"/>
          <w:szCs w:val="32"/>
        </w:rPr>
      </w:pPr>
      <w:r>
        <w:rPr>
          <w:rFonts w:hint="eastAsia" w:ascii="华文中宋" w:hAnsi="华文中宋" w:eastAsia="华文中宋" w:cs="黑体"/>
          <w:color w:val="000000"/>
          <w:sz w:val="36"/>
          <w:szCs w:val="32"/>
        </w:rPr>
        <w:t>20</w:t>
      </w:r>
      <w:r>
        <w:rPr>
          <w:rFonts w:hint="eastAsia" w:ascii="华文中宋" w:hAnsi="华文中宋" w:eastAsia="华文中宋" w:cs="黑体"/>
          <w:color w:val="000000"/>
          <w:sz w:val="36"/>
          <w:szCs w:val="32"/>
          <w:lang w:val="en-US" w:eastAsia="zh-CN"/>
        </w:rPr>
        <w:t>21</w:t>
      </w:r>
      <w:r>
        <w:rPr>
          <w:rFonts w:hint="eastAsia" w:ascii="华文中宋" w:hAnsi="华文中宋" w:eastAsia="华文中宋" w:cs="黑体"/>
          <w:color w:val="000000"/>
          <w:sz w:val="36"/>
          <w:szCs w:val="32"/>
        </w:rPr>
        <w:t>年度部门决算报表填报说明</w:t>
      </w:r>
    </w:p>
    <w:p>
      <w:pPr>
        <w:jc w:val="center"/>
        <w:rPr>
          <w:rFonts w:ascii="仿宋_GB2312" w:hAnsi="华文中宋" w:eastAsia="仿宋_GB2312" w:cs="黑体"/>
          <w:color w:val="000000"/>
          <w:sz w:val="32"/>
          <w:szCs w:val="32"/>
        </w:rPr>
      </w:pP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一、决算信息来源说明</w:t>
      </w:r>
    </w:p>
    <w:p>
      <w:pPr>
        <w:ind w:firstLine="640" w:firstLineChars="200"/>
        <w:rPr>
          <w:rFonts w:ascii="仿宋_GB2312" w:hAnsi="仿宋" w:eastAsia="仿宋_GB2312"/>
          <w:sz w:val="32"/>
          <w:szCs w:val="32"/>
        </w:rPr>
      </w:pPr>
      <w:r>
        <w:rPr>
          <w:rFonts w:hint="eastAsia" w:ascii="仿宋_GB2312" w:hAnsi="仿宋" w:eastAsia="仿宋_GB2312"/>
          <w:sz w:val="32"/>
          <w:szCs w:val="32"/>
        </w:rPr>
        <w:t>本套决算依据本单位登记完整、核对无误的账簿记录和其他有关会计核算资料编制，账证相符、账实相符、账表相符、表表相符，真实、准确、完整地反映了本单位预算执行结果和财务状况。</w:t>
      </w:r>
    </w:p>
    <w:p>
      <w:pPr>
        <w:ind w:firstLine="640" w:firstLineChars="200"/>
        <w:rPr>
          <w:rFonts w:ascii="仿宋_GB2312" w:hAnsi="仿宋" w:eastAsia="仿宋_GB2312" w:cs="黑体"/>
          <w:color w:val="000000"/>
          <w:sz w:val="32"/>
          <w:szCs w:val="32"/>
        </w:rPr>
      </w:pPr>
      <w:r>
        <w:rPr>
          <w:rFonts w:hint="eastAsia" w:ascii="仿宋_GB2312" w:hAnsi="仿宋" w:eastAsia="仿宋_GB2312"/>
          <w:sz w:val="32"/>
          <w:szCs w:val="32"/>
        </w:rPr>
        <w:t>（一）本套决算主表决算数据主要依据本单位会计账簿总账及明细账数据填列，预算数据依据本单位预、决算批复文件及预算调整文件填列。</w:t>
      </w:r>
    </w:p>
    <w:p>
      <w:pPr>
        <w:ind w:firstLine="640" w:firstLineChars="200"/>
        <w:rPr>
          <w:rFonts w:ascii="仿宋_GB2312" w:hAnsi="仿宋" w:eastAsia="仿宋_GB2312"/>
          <w:sz w:val="32"/>
          <w:szCs w:val="32"/>
        </w:rPr>
      </w:pPr>
      <w:r>
        <w:rPr>
          <w:rFonts w:hint="eastAsia" w:ascii="仿宋_GB2312" w:hAnsi="仿宋" w:eastAsia="仿宋_GB2312"/>
          <w:sz w:val="32"/>
          <w:szCs w:val="32"/>
        </w:rPr>
        <w:t>（二）本套决算附表数据主要依据本单位资产、人事台账及相关统计资料填列，其中：“资产情况表”“国有资产收益征缴情况表”依据本单位资产相关会计账簿数据、固定资产管理系统相关数据及有关统计资料填列；“基本数据表”“机构人员情况表”依据本单位人事台账相关资料填列。</w:t>
      </w: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二、决算</w:t>
      </w:r>
      <w:r>
        <w:rPr>
          <w:rFonts w:hint="eastAsia" w:ascii="黑体" w:hAnsi="黑体" w:eastAsia="黑体" w:cs="黑体"/>
          <w:sz w:val="32"/>
          <w:szCs w:val="32"/>
        </w:rPr>
        <w:t>编制</w:t>
      </w:r>
      <w:r>
        <w:rPr>
          <w:rFonts w:hint="eastAsia" w:ascii="黑体" w:hAnsi="黑体" w:eastAsia="黑体" w:cs="黑体"/>
          <w:color w:val="000000"/>
          <w:sz w:val="32"/>
          <w:szCs w:val="32"/>
        </w:rPr>
        <w:t>基本情况</w:t>
      </w:r>
    </w:p>
    <w:p>
      <w:pPr>
        <w:ind w:firstLine="640" w:firstLineChars="200"/>
        <w:rPr>
          <w:rFonts w:ascii="仿宋_GB2312" w:hAnsi="仿宋" w:eastAsia="仿宋_GB2312" w:cs="仿宋"/>
          <w:bCs/>
          <w:color w:val="000000"/>
          <w:sz w:val="32"/>
          <w:szCs w:val="32"/>
        </w:rPr>
      </w:pPr>
      <w:r>
        <w:rPr>
          <w:rFonts w:hint="eastAsia" w:ascii="仿宋_GB2312" w:hAnsi="仿宋" w:eastAsia="仿宋_GB2312" w:cs="仿宋"/>
          <w:bCs/>
          <w:color w:val="000000"/>
          <w:sz w:val="32"/>
          <w:szCs w:val="32"/>
        </w:rPr>
        <w:t>本单位为</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u w:val="single"/>
          <w:lang w:eastAsia="zh-CN"/>
        </w:rPr>
        <w:t>莫力达瓦达斡尔族自治旗</w:t>
      </w:r>
      <w:r>
        <w:rPr>
          <w:rFonts w:hint="eastAsia" w:ascii="仿宋_GB2312" w:hAnsi="仿宋" w:eastAsia="仿宋_GB2312" w:cs="仿宋"/>
          <w:bCs/>
          <w:color w:val="000000"/>
          <w:sz w:val="32"/>
          <w:szCs w:val="32"/>
          <w:u w:val="single"/>
          <w:lang w:val="en-US" w:eastAsia="zh-CN"/>
        </w:rPr>
        <w:t>卫生健康委员会</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rPr>
        <w:t>所属</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u w:val="single"/>
          <w:lang w:eastAsia="zh-CN"/>
        </w:rPr>
        <w:t>一</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rPr>
        <w:t>级预算单位，单位性质为</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u w:val="single"/>
          <w:lang w:eastAsia="zh-CN"/>
        </w:rPr>
        <w:t>财政补助事业单位</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rPr>
        <w:t>，决算编报类型为</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u w:val="single"/>
          <w:lang w:eastAsia="zh-CN"/>
        </w:rPr>
        <w:t>单户表</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rPr>
        <w:t>，按照</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u w:val="single"/>
          <w:lang w:val="en-US" w:eastAsia="zh-CN"/>
        </w:rPr>
        <w:t>行政</w:t>
      </w:r>
      <w:r>
        <w:rPr>
          <w:rFonts w:hint="eastAsia" w:ascii="仿宋_GB2312" w:hAnsi="仿宋" w:eastAsia="仿宋_GB2312" w:cs="仿宋"/>
          <w:bCs/>
          <w:color w:val="000000"/>
          <w:sz w:val="32"/>
          <w:szCs w:val="32"/>
          <w:u w:val="single"/>
          <w:lang w:eastAsia="zh-CN"/>
        </w:rPr>
        <w:t>单位</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rPr>
        <w:t>会计制度填报决算数据。</w:t>
      </w:r>
    </w:p>
    <w:p>
      <w:pPr>
        <w:ind w:firstLine="567"/>
        <w:rPr>
          <w:rFonts w:ascii="仿宋_GB2312" w:hAnsi="仿宋" w:eastAsia="仿宋_GB2312" w:cs="仿宋"/>
          <w:bCs/>
          <w:color w:val="000000"/>
          <w:sz w:val="32"/>
          <w:szCs w:val="32"/>
        </w:rPr>
      </w:pPr>
      <w:r>
        <w:rPr>
          <w:rFonts w:hint="eastAsia" w:ascii="仿宋_GB2312" w:hAnsi="仿宋" w:eastAsia="仿宋_GB2312" w:cs="仿宋"/>
          <w:bCs/>
          <w:color w:val="000000"/>
          <w:sz w:val="32"/>
          <w:szCs w:val="32"/>
        </w:rPr>
        <w:t>纳入本套决算编制范围的独立编制单位共</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u w:val="single"/>
          <w:lang w:val="en-US" w:eastAsia="zh-CN"/>
        </w:rPr>
        <w:t>1</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rPr>
        <w:t>个，比上年增(减)</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u w:val="single"/>
          <w:lang w:val="en-US" w:eastAsia="zh-CN"/>
        </w:rPr>
        <w:t>0</w:t>
      </w:r>
      <w:r>
        <w:rPr>
          <w:rFonts w:hint="eastAsia" w:ascii="仿宋_GB2312" w:hAnsi="仿宋" w:eastAsia="仿宋_GB2312" w:cs="仿宋"/>
          <w:bCs/>
          <w:color w:val="000000"/>
          <w:sz w:val="32"/>
          <w:szCs w:val="32"/>
          <w:u w:val="single"/>
        </w:rPr>
        <w:t xml:space="preserve"> </w:t>
      </w:r>
      <w:r>
        <w:rPr>
          <w:rFonts w:hint="eastAsia" w:ascii="仿宋_GB2312" w:hAnsi="仿宋" w:eastAsia="仿宋_GB2312" w:cs="仿宋"/>
          <w:bCs/>
          <w:color w:val="000000"/>
          <w:sz w:val="32"/>
          <w:szCs w:val="32"/>
        </w:rPr>
        <w:t>个。</w:t>
      </w:r>
    </w:p>
    <w:p>
      <w:pPr>
        <w:ind w:firstLine="707" w:firstLineChars="221"/>
        <w:rPr>
          <w:rFonts w:ascii="黑体" w:hAnsi="黑体" w:eastAsia="黑体" w:cs="Times New Roman"/>
          <w:color w:val="000000"/>
          <w:sz w:val="32"/>
          <w:szCs w:val="32"/>
        </w:rPr>
      </w:pPr>
      <w:r>
        <w:rPr>
          <w:rFonts w:hint="eastAsia" w:ascii="黑体" w:hAnsi="黑体" w:eastAsia="黑体" w:cs="黑体"/>
          <w:color w:val="000000"/>
          <w:sz w:val="32"/>
          <w:szCs w:val="32"/>
        </w:rPr>
        <w:t>三、基础数据核对情况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（一）财政资金对账情况。</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1．财政拨款核对情况。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（1）单位本年度实际收到的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公共预算财政拨款收入</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1422.02</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rPr>
        <w:t>万元，财政部门拨款对账单</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1422.02</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rPr>
        <w:t>万元，差额</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0</w:t>
      </w:r>
      <w:r>
        <w:rPr>
          <w:rFonts w:hint="eastAsia" w:ascii="仿宋_GB2312" w:hAnsi="仿宋" w:eastAsia="仿宋_GB2312" w:cs="仿宋"/>
          <w:color w:val="000000"/>
          <w:sz w:val="32"/>
          <w:szCs w:val="32"/>
        </w:rPr>
        <w:t>万元。</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（2）单位本年度政府性基金预算财政拨款收入</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 xml:space="preserve">0 </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rPr>
        <w:t> </w:t>
      </w:r>
      <w:r>
        <w:rPr>
          <w:rFonts w:hint="eastAsia" w:ascii="仿宋_GB2312" w:eastAsia="仿宋_GB2312" w:cs="Times New Roman"/>
          <w:color w:val="000000"/>
          <w:sz w:val="32"/>
          <w:szCs w:val="32"/>
          <w:u w:val="single"/>
          <w:lang w:val="en-US" w:eastAsia="zh-CN"/>
        </w:rPr>
        <w:t xml:space="preserve"> 0 </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 xml:space="preserve">  </w:t>
      </w:r>
      <w:r>
        <w:rPr>
          <w:rFonts w:hint="eastAsia" w:ascii="仿宋_GB2312" w:eastAsia="仿宋_GB2312" w:cs="Times New Roman"/>
          <w:color w:val="000000"/>
          <w:sz w:val="32"/>
          <w:szCs w:val="32"/>
          <w:u w:val="single"/>
          <w:lang w:val="en-US" w:eastAsia="zh-CN"/>
        </w:rPr>
        <w:t>0</w:t>
      </w:r>
      <w:r>
        <w:rPr>
          <w:rFonts w:hint="eastAsia" w:ascii="仿宋_GB2312"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2．财政专户管理资金核对情况。</w:t>
      </w:r>
    </w:p>
    <w:p>
      <w:pPr>
        <w:ind w:firstLine="709"/>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（1）单位本年度缴入财政专户</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0</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rPr>
        <w:t>万元，财政部门财政专户缴款对账单</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0</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rPr>
        <w:t>万元，差额</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0</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rPr>
        <w:t>万元。</w:t>
      </w:r>
    </w:p>
    <w:p>
      <w:pPr>
        <w:ind w:firstLine="709"/>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（2）单位本年度财政专户</w:t>
      </w:r>
      <w:r>
        <w:rPr>
          <w:rFonts w:hint="eastAsia" w:ascii="仿宋_GB2312" w:hAnsi="仿宋" w:eastAsia="仿宋_GB2312" w:cs="仿宋"/>
          <w:bCs/>
          <w:color w:val="000000"/>
          <w:sz w:val="32"/>
          <w:szCs w:val="32"/>
        </w:rPr>
        <w:t>管理</w:t>
      </w:r>
      <w:r>
        <w:rPr>
          <w:rFonts w:hint="eastAsia" w:ascii="仿宋_GB2312" w:hAnsi="仿宋" w:eastAsia="仿宋_GB2312" w:cs="仿宋"/>
          <w:color w:val="000000"/>
          <w:sz w:val="32"/>
          <w:szCs w:val="32"/>
        </w:rPr>
        <w:t>资金收入</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0</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rPr>
        <w:t>万元，财政部门财政专户拨款对账单</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0</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rPr>
        <w:t>万元，差额</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u w:val="single"/>
          <w:lang w:val="en-US" w:eastAsia="zh-CN"/>
        </w:rPr>
        <w:t>0</w:t>
      </w:r>
      <w:r>
        <w:rPr>
          <w:rFonts w:hint="eastAsia" w:ascii="仿宋_GB2312" w:hAnsi="仿宋" w:eastAsia="仿宋_GB2312" w:cs="仿宋"/>
          <w:color w:val="000000"/>
          <w:sz w:val="32"/>
          <w:szCs w:val="32"/>
          <w:u w:val="single"/>
        </w:rPr>
        <w:t xml:space="preserve"> </w:t>
      </w:r>
      <w:r>
        <w:rPr>
          <w:rFonts w:hint="eastAsia" w:ascii="仿宋_GB2312" w:hAnsi="仿宋" w:eastAsia="仿宋_GB2312" w:cs="仿宋"/>
          <w:color w:val="000000"/>
          <w:sz w:val="32"/>
          <w:szCs w:val="32"/>
        </w:rPr>
        <w:t>万元。</w:t>
      </w:r>
    </w:p>
    <w:p>
      <w:pPr>
        <w:ind w:firstLine="709"/>
        <w:rPr>
          <w:rFonts w:hint="eastAsia" w:ascii="仿宋_GB2312" w:hAnsi="仿宋" w:eastAsia="仿宋_GB2312" w:cs="仿宋"/>
          <w:b/>
          <w:color w:val="000000"/>
          <w:sz w:val="32"/>
          <w:szCs w:val="32"/>
        </w:rPr>
      </w:pPr>
      <w:r>
        <w:rPr>
          <w:rFonts w:hint="eastAsia" w:ascii="仿宋_GB2312" w:hAnsi="仿宋" w:eastAsia="仿宋_GB2312" w:cs="仿宋"/>
          <w:b/>
          <w:color w:val="000000"/>
          <w:sz w:val="32"/>
          <w:szCs w:val="32"/>
        </w:rPr>
        <w:t>3．其他需要说明的情况。</w:t>
      </w:r>
    </w:p>
    <w:p>
      <w:pPr>
        <w:ind w:firstLine="709"/>
        <w:rPr>
          <w:rFonts w:hint="eastAsia" w:ascii="仿宋_GB2312" w:hAnsi="仿宋" w:eastAsia="仿宋_GB2312" w:cs="仿宋"/>
          <w:b/>
          <w:color w:val="000000"/>
          <w:sz w:val="32"/>
          <w:szCs w:val="32"/>
          <w:lang w:val="en-US" w:eastAsia="zh-CN"/>
        </w:rPr>
      </w:pPr>
      <w:r>
        <w:rPr>
          <w:rFonts w:hint="eastAsia" w:ascii="仿宋_GB2312" w:hAnsi="仿宋" w:eastAsia="仿宋_GB2312" w:cs="仿宋"/>
          <w:b w:val="0"/>
          <w:bCs/>
          <w:color w:val="000000"/>
          <w:sz w:val="32"/>
          <w:szCs w:val="32"/>
          <w:lang w:eastAsia="zh-CN"/>
        </w:rPr>
        <w:t>本单位</w:t>
      </w:r>
      <w:r>
        <w:rPr>
          <w:rFonts w:hint="eastAsia" w:ascii="仿宋_GB2312" w:hAnsi="仿宋" w:eastAsia="仿宋_GB2312" w:cs="仿宋"/>
          <w:b w:val="0"/>
          <w:bCs/>
          <w:color w:val="000000"/>
          <w:sz w:val="32"/>
          <w:szCs w:val="32"/>
          <w:lang w:val="en-US" w:eastAsia="zh-CN"/>
        </w:rPr>
        <w:t>2020年部门决算报表与卫建委汇总上报，无独立的报表数据。</w:t>
      </w:r>
    </w:p>
    <w:p>
      <w:pPr>
        <w:ind w:firstLine="707" w:firstLineChars="221"/>
        <w:rPr>
          <w:rFonts w:ascii="黑体" w:hAnsi="黑体" w:eastAsia="黑体" w:cs="黑体"/>
          <w:color w:val="000000"/>
          <w:sz w:val="32"/>
          <w:szCs w:val="32"/>
        </w:rPr>
      </w:pPr>
      <w:r>
        <w:rPr>
          <w:rFonts w:hint="eastAsia" w:ascii="黑体" w:hAnsi="黑体" w:eastAsia="黑体" w:cs="黑体"/>
          <w:color w:val="000000"/>
          <w:sz w:val="32"/>
          <w:szCs w:val="32"/>
        </w:rPr>
        <w:t> 四、报表审核情况</w:t>
      </w:r>
    </w:p>
    <w:p>
      <w:pPr>
        <w:ind w:firstLine="709"/>
        <w:rPr>
          <w:rFonts w:ascii="楷体_GB2312" w:hAnsi="仿宋" w:eastAsia="楷体_GB2312" w:cs="仿宋"/>
          <w:b/>
          <w:color w:val="000000"/>
          <w:sz w:val="32"/>
          <w:szCs w:val="32"/>
        </w:rPr>
      </w:pPr>
      <w:r>
        <w:rPr>
          <w:rFonts w:hint="eastAsia" w:ascii="??_GB2312" w:hAnsi="仿宋" w:cs="仿宋"/>
          <w:b/>
          <w:bCs w:val="0"/>
          <w:color w:val="000000"/>
          <w:sz w:val="32"/>
          <w:szCs w:val="32"/>
          <w:lang w:eastAsia="zh-CN"/>
        </w:rPr>
        <w:t>（一）</w:t>
      </w:r>
      <w:r>
        <w:rPr>
          <w:rFonts w:ascii="??_GB2312" w:hAnsi="仿宋" w:eastAsia="Times New Roman" w:cs="仿宋"/>
          <w:bCs/>
          <w:color w:val="000000"/>
          <w:sz w:val="32"/>
          <w:szCs w:val="32"/>
        </w:rPr>
        <w:t>套</w:t>
      </w:r>
      <w:r>
        <w:rPr>
          <w:rFonts w:hint="eastAsia" w:ascii="??_GB2312" w:hAnsi="仿宋" w:cs="仿宋"/>
          <w:bCs/>
          <w:color w:val="000000"/>
          <w:sz w:val="32"/>
          <w:szCs w:val="32"/>
          <w:lang w:eastAsia="zh-CN"/>
        </w:rPr>
        <w:t>表</w:t>
      </w:r>
      <w:r>
        <w:rPr>
          <w:rFonts w:ascii="??_GB2312" w:hAnsi="仿宋" w:eastAsia="Times New Roman" w:cs="仿宋"/>
          <w:bCs/>
          <w:color w:val="000000"/>
          <w:sz w:val="32"/>
          <w:szCs w:val="32"/>
        </w:rPr>
        <w:t>内数据完全性正确，公式审核与模板审核完全符合逻辑。</w:t>
      </w:r>
    </w:p>
    <w:p>
      <w:pPr>
        <w:ind w:firstLine="643" w:firstLineChars="200"/>
        <w:rPr>
          <w:rFonts w:ascii="楷体_GB2312" w:hAnsi="Times New Roman" w:eastAsia="楷体_GB2312" w:cs="Times New Roman"/>
          <w:b/>
          <w:color w:val="000000"/>
          <w:sz w:val="32"/>
          <w:szCs w:val="32"/>
        </w:rPr>
      </w:pPr>
      <w:r>
        <w:rPr>
          <w:rFonts w:hint="eastAsia" w:ascii="楷体_GB2312" w:hAnsi="仿宋" w:eastAsia="楷体_GB2312" w:cs="仿宋"/>
          <w:b/>
          <w:color w:val="000000"/>
          <w:sz w:val="32"/>
          <w:szCs w:val="32"/>
        </w:rPr>
        <w:t>（二）对报表指标、审核公式和审核模板的设置建议。</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1.部门决算报表指标设置</w:t>
      </w:r>
      <w:r>
        <w:rPr>
          <w:rFonts w:hint="eastAsia" w:ascii="仿宋_GB2312" w:hAnsi="仿宋" w:eastAsia="仿宋_GB2312" w:cs="仿宋"/>
          <w:color w:val="000000"/>
          <w:sz w:val="32"/>
          <w:szCs w:val="32"/>
          <w:lang w:eastAsia="zh-CN"/>
        </w:rPr>
        <w:t>无建议</w:t>
      </w:r>
      <w:r>
        <w:rPr>
          <w:rFonts w:hint="eastAsia" w:ascii="仿宋_GB2312" w:hAnsi="仿宋" w:eastAsia="仿宋_GB2312" w:cs="仿宋"/>
          <w:color w:val="000000"/>
          <w:sz w:val="32"/>
          <w:szCs w:val="32"/>
        </w:rPr>
        <w:t>。</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2.审核公式和模板</w:t>
      </w:r>
      <w:r>
        <w:rPr>
          <w:rFonts w:hint="eastAsia" w:ascii="仿宋_GB2312" w:hAnsi="仿宋" w:eastAsia="仿宋_GB2312" w:cs="仿宋"/>
          <w:color w:val="000000"/>
          <w:sz w:val="32"/>
          <w:szCs w:val="32"/>
          <w:lang w:eastAsia="zh-CN"/>
        </w:rPr>
        <w:t>很完美</w:t>
      </w:r>
      <w:r>
        <w:rPr>
          <w:rFonts w:hint="eastAsia" w:ascii="仿宋_GB2312" w:hAnsi="仿宋" w:eastAsia="仿宋_GB2312" w:cs="仿宋"/>
          <w:color w:val="000000"/>
          <w:sz w:val="32"/>
          <w:szCs w:val="32"/>
        </w:rPr>
        <w:t>。</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3.</w:t>
      </w:r>
      <w:r>
        <w:rPr>
          <w:rFonts w:hint="eastAsia" w:ascii="仿宋_GB2312" w:hAnsi="仿宋" w:eastAsia="仿宋_GB2312" w:cs="仿宋"/>
          <w:color w:val="000000"/>
          <w:sz w:val="32"/>
          <w:szCs w:val="32"/>
          <w:lang w:eastAsia="zh-CN"/>
        </w:rPr>
        <w:t>无</w:t>
      </w:r>
      <w:r>
        <w:rPr>
          <w:rFonts w:hint="eastAsia" w:ascii="仿宋_GB2312" w:hAnsi="仿宋" w:eastAsia="仿宋_GB2312" w:cs="仿宋"/>
          <w:color w:val="000000"/>
          <w:sz w:val="32"/>
          <w:szCs w:val="32"/>
        </w:rPr>
        <w:t>单位自行增加的审核公式和模板。</w:t>
      </w:r>
    </w:p>
    <w:p>
      <w:pPr>
        <w:ind w:firstLine="709"/>
        <w:rPr>
          <w:rFonts w:ascii="黑体" w:hAnsi="黑体" w:eastAsia="黑体" w:cs="Times New Roman"/>
          <w:color w:val="000000"/>
          <w:sz w:val="32"/>
          <w:szCs w:val="32"/>
        </w:rPr>
      </w:pPr>
      <w:r>
        <w:rPr>
          <w:rFonts w:hint="eastAsia" w:ascii="黑体" w:hAnsi="黑体" w:eastAsia="黑体" w:cs="黑体"/>
          <w:color w:val="000000"/>
          <w:sz w:val="32"/>
          <w:szCs w:val="32"/>
        </w:rPr>
        <w:t>五、决算数据其他需要说明的情况</w:t>
      </w:r>
    </w:p>
    <w:p>
      <w:pPr>
        <w:ind w:firstLine="709"/>
        <w:rPr>
          <w:rFonts w:hint="eastAsia" w:ascii="仿宋_GB2312" w:hAnsi="仿宋" w:eastAsia="仿宋_GB2312" w:cs="仿宋"/>
          <w:color w:val="000000"/>
          <w:spacing w:val="6"/>
          <w:sz w:val="32"/>
          <w:szCs w:val="32"/>
          <w:lang w:eastAsia="zh-CN"/>
        </w:rPr>
      </w:pPr>
      <w:r>
        <w:rPr>
          <w:rFonts w:hint="eastAsia" w:ascii="仿宋_GB2312" w:hAnsi="仿宋" w:eastAsia="仿宋_GB2312" w:cs="仿宋"/>
          <w:color w:val="000000"/>
          <w:sz w:val="32"/>
          <w:szCs w:val="32"/>
        </w:rPr>
        <w:t>1．“收入决算表”</w:t>
      </w:r>
      <w:r>
        <w:rPr>
          <w:rFonts w:hint="eastAsia" w:ascii="仿宋_GB2312" w:hAnsi="仿宋" w:eastAsia="仿宋_GB2312" w:cs="仿宋"/>
          <w:color w:val="000000"/>
          <w:sz w:val="32"/>
          <w:szCs w:val="32"/>
          <w:lang w:eastAsia="zh-CN"/>
        </w:rPr>
        <w:t>无</w:t>
      </w:r>
      <w:r>
        <w:rPr>
          <w:rFonts w:hint="eastAsia" w:ascii="仿宋_GB2312" w:hAnsi="仿宋" w:eastAsia="仿宋_GB2312" w:cs="仿宋"/>
          <w:color w:val="000000"/>
          <w:spacing w:val="6"/>
          <w:sz w:val="32"/>
          <w:szCs w:val="32"/>
        </w:rPr>
        <w:t>其他收入</w:t>
      </w:r>
      <w:r>
        <w:rPr>
          <w:rFonts w:hint="eastAsia" w:ascii="仿宋_GB2312" w:hAnsi="仿宋" w:eastAsia="仿宋_GB2312" w:cs="仿宋"/>
          <w:color w:val="000000"/>
          <w:spacing w:val="6"/>
          <w:sz w:val="32"/>
          <w:szCs w:val="32"/>
          <w:lang w:eastAsia="zh-CN"/>
        </w:rPr>
        <w:t>。</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w:t>
      </w:r>
      <w:r>
        <w:rPr>
          <w:rFonts w:hint="eastAsia" w:ascii="仿宋_GB2312" w:hAnsi="仿宋" w:eastAsia="仿宋_GB2312" w:cs="仿宋"/>
          <w:color w:val="000000"/>
          <w:sz w:val="32"/>
          <w:szCs w:val="32"/>
          <w:lang w:eastAsia="zh-CN"/>
        </w:rPr>
        <w:t>无</w:t>
      </w:r>
      <w:r>
        <w:rPr>
          <w:rFonts w:hint="eastAsia" w:ascii="仿宋_GB2312" w:hAnsi="仿宋" w:eastAsia="仿宋_GB2312" w:cs="仿宋"/>
          <w:color w:val="000000"/>
          <w:sz w:val="32"/>
          <w:szCs w:val="32"/>
        </w:rPr>
        <w:t>年末结转和结余为负数的情况。</w:t>
      </w:r>
    </w:p>
    <w:p>
      <w:pPr>
        <w:ind w:firstLine="709"/>
        <w:rPr>
          <w:rFonts w:hint="eastAsia" w:ascii="仿宋_GB2312" w:hAnsi="仿宋" w:eastAsia="仿宋_GB2312" w:cs="仿宋"/>
          <w:color w:val="000000"/>
          <w:sz w:val="32"/>
          <w:szCs w:val="32"/>
          <w:lang w:eastAsia="zh-CN"/>
        </w:rPr>
      </w:pPr>
      <w:r>
        <w:rPr>
          <w:rFonts w:hint="eastAsia" w:ascii="仿宋_GB2312" w:hAnsi="仿宋" w:eastAsia="仿宋_GB2312" w:cs="仿宋"/>
          <w:color w:val="000000"/>
          <w:sz w:val="32"/>
          <w:szCs w:val="32"/>
        </w:rPr>
        <w:t>3．</w:t>
      </w:r>
      <w:r>
        <w:rPr>
          <w:rFonts w:hint="eastAsia" w:ascii="仿宋_GB2312" w:hAnsi="仿宋" w:eastAsia="仿宋_GB2312" w:cs="仿宋"/>
          <w:color w:val="000000"/>
          <w:sz w:val="32"/>
          <w:szCs w:val="32"/>
          <w:lang w:eastAsia="zh-CN"/>
        </w:rPr>
        <w:t>我单位无</w:t>
      </w:r>
      <w:r>
        <w:rPr>
          <w:rFonts w:hint="eastAsia" w:ascii="仿宋_GB2312" w:hAnsi="仿宋" w:eastAsia="仿宋_GB2312" w:cs="仿宋"/>
          <w:color w:val="000000"/>
          <w:sz w:val="32"/>
          <w:szCs w:val="32"/>
        </w:rPr>
        <w:t>“项目支出决算明细表”中列支“工资福利支出”和“对个人和家庭的补助”的</w:t>
      </w:r>
      <w:r>
        <w:rPr>
          <w:rFonts w:hint="eastAsia" w:ascii="仿宋_GB2312" w:hAnsi="仿宋" w:eastAsia="仿宋_GB2312" w:cs="仿宋"/>
          <w:color w:val="000000"/>
          <w:sz w:val="32"/>
          <w:szCs w:val="32"/>
          <w:lang w:eastAsia="zh-CN"/>
        </w:rPr>
        <w:t>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4.</w:t>
      </w:r>
      <w:r>
        <w:rPr>
          <w:rFonts w:hint="eastAsia" w:ascii="仿宋_GB2312" w:hAnsi="仿宋" w:eastAsia="仿宋_GB2312" w:cs="仿宋"/>
          <w:color w:val="000000"/>
          <w:sz w:val="32"/>
          <w:szCs w:val="32"/>
          <w:lang w:eastAsia="zh-CN"/>
        </w:rPr>
        <w:t>我单位未填列</w:t>
      </w:r>
      <w:r>
        <w:rPr>
          <w:rFonts w:hint="eastAsia" w:ascii="仿宋_GB2312" w:hAnsi="仿宋" w:eastAsia="仿宋_GB2312" w:cs="仿宋"/>
          <w:color w:val="000000"/>
          <w:sz w:val="32"/>
          <w:szCs w:val="32"/>
        </w:rPr>
        <w:t>“财政专户管理资金收入支出决算表”。</w:t>
      </w:r>
    </w:p>
    <w:p>
      <w:pPr>
        <w:rPr>
          <w:rFonts w:hint="eastAsia" w:eastAsia="宋体"/>
          <w:lang w:val="en-US" w:eastAsia="zh-CN"/>
        </w:rPr>
      </w:pPr>
      <w:r>
        <w:rPr>
          <w:rFonts w:hint="eastAsia"/>
          <w:lang w:val="en-US" w:eastAsia="zh-CN"/>
        </w:rPr>
        <w:t xml:space="preserve">    </w:t>
      </w:r>
    </w:p>
    <w:sectPr>
      <w:footerReference r:id="rId3" w:type="default"/>
      <w:pgSz w:w="16838" w:h="11906" w:orient="landscape"/>
      <w:pgMar w:top="1588" w:right="1440" w:bottom="1588"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9</w:t>
    </w:r>
    <w:r>
      <w:rPr>
        <w:rFonts w:ascii="Arial" w:hAnsi="Arial" w:cs="Arial"/>
        <w:sz w:val="24"/>
        <w:szCs w:val="24"/>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7C3"/>
    <w:rsid w:val="00111785"/>
    <w:rsid w:val="00162CC4"/>
    <w:rsid w:val="001E2D32"/>
    <w:rsid w:val="001E64A8"/>
    <w:rsid w:val="00222F83"/>
    <w:rsid w:val="00315D97"/>
    <w:rsid w:val="003877C3"/>
    <w:rsid w:val="003F0A43"/>
    <w:rsid w:val="00450DAE"/>
    <w:rsid w:val="00456368"/>
    <w:rsid w:val="004967FC"/>
    <w:rsid w:val="004B334D"/>
    <w:rsid w:val="004D512A"/>
    <w:rsid w:val="00522486"/>
    <w:rsid w:val="0059253A"/>
    <w:rsid w:val="006210EA"/>
    <w:rsid w:val="006B17A2"/>
    <w:rsid w:val="006B7977"/>
    <w:rsid w:val="006E0FF0"/>
    <w:rsid w:val="006E6A2B"/>
    <w:rsid w:val="0071395E"/>
    <w:rsid w:val="00734D1B"/>
    <w:rsid w:val="007E4431"/>
    <w:rsid w:val="007E59E8"/>
    <w:rsid w:val="0081307B"/>
    <w:rsid w:val="008375A4"/>
    <w:rsid w:val="008877B8"/>
    <w:rsid w:val="008E5B2B"/>
    <w:rsid w:val="00906102"/>
    <w:rsid w:val="00961129"/>
    <w:rsid w:val="009C160E"/>
    <w:rsid w:val="009E77A1"/>
    <w:rsid w:val="00A06802"/>
    <w:rsid w:val="00A46CDB"/>
    <w:rsid w:val="00A92C79"/>
    <w:rsid w:val="00AD0442"/>
    <w:rsid w:val="00B82F15"/>
    <w:rsid w:val="00BB0B4D"/>
    <w:rsid w:val="00BD6CD3"/>
    <w:rsid w:val="00C40B20"/>
    <w:rsid w:val="00C53422"/>
    <w:rsid w:val="00CA3938"/>
    <w:rsid w:val="00CE11BA"/>
    <w:rsid w:val="00DA37A4"/>
    <w:rsid w:val="00E068BF"/>
    <w:rsid w:val="00E1090A"/>
    <w:rsid w:val="00E40483"/>
    <w:rsid w:val="00E41980"/>
    <w:rsid w:val="00E91113"/>
    <w:rsid w:val="00EA365D"/>
    <w:rsid w:val="00EE246A"/>
    <w:rsid w:val="14614DFF"/>
    <w:rsid w:val="19CF6D75"/>
    <w:rsid w:val="292532D5"/>
    <w:rsid w:val="2B0D120E"/>
    <w:rsid w:val="319F2AF2"/>
    <w:rsid w:val="44A01D41"/>
    <w:rsid w:val="49F51C00"/>
    <w:rsid w:val="536E442B"/>
    <w:rsid w:val="56103906"/>
    <w:rsid w:val="585E1FE4"/>
    <w:rsid w:val="588150A2"/>
    <w:rsid w:val="5AAA19CF"/>
    <w:rsid w:val="6B156274"/>
    <w:rsid w:val="6BF5485C"/>
    <w:rsid w:val="70362827"/>
    <w:rsid w:val="753977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qFormat/>
    <w:uiPriority w:val="0"/>
    <w:rPr>
      <w:rFonts w:cs="Times New Roman"/>
      <w:sz w:val="18"/>
      <w:szCs w:val="18"/>
    </w:rPr>
  </w:style>
  <w:style w:type="paragraph" w:styleId="3">
    <w:name w:val="footer"/>
    <w:basedOn w:val="1"/>
    <w:link w:val="10"/>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character" w:styleId="7">
    <w:name w:val="FollowedHyperlink"/>
    <w:semiHidden/>
    <w:qFormat/>
    <w:uiPriority w:val="99"/>
    <w:rPr>
      <w:color w:val="800080"/>
      <w:u w:val="single"/>
    </w:rPr>
  </w:style>
  <w:style w:type="character" w:styleId="8">
    <w:name w:val="Hyperlink"/>
    <w:semiHidden/>
    <w:qFormat/>
    <w:uiPriority w:val="99"/>
    <w:rPr>
      <w:color w:val="0000FF"/>
      <w:u w:val="single"/>
    </w:rPr>
  </w:style>
  <w:style w:type="character" w:customStyle="1" w:styleId="9">
    <w:name w:val="页脚 Char"/>
    <w:basedOn w:val="6"/>
    <w:semiHidden/>
    <w:qFormat/>
    <w:uiPriority w:val="99"/>
    <w:rPr>
      <w:rFonts w:ascii="Calibri" w:hAnsi="Calibri" w:eastAsia="宋体" w:cs="Calibri"/>
      <w:sz w:val="18"/>
      <w:szCs w:val="18"/>
    </w:rPr>
  </w:style>
  <w:style w:type="character" w:customStyle="1" w:styleId="10">
    <w:name w:val="页脚 Char1"/>
    <w:link w:val="3"/>
    <w:qFormat/>
    <w:locked/>
    <w:uiPriority w:val="99"/>
    <w:rPr>
      <w:rFonts w:ascii="Times New Roman" w:hAnsi="Times New Roman" w:eastAsia="宋体" w:cs="Times New Roman"/>
      <w:kern w:val="0"/>
      <w:sz w:val="18"/>
      <w:szCs w:val="18"/>
    </w:rPr>
  </w:style>
  <w:style w:type="character" w:customStyle="1" w:styleId="11">
    <w:name w:val="页眉 Char"/>
    <w:basedOn w:val="6"/>
    <w:semiHidden/>
    <w:qFormat/>
    <w:uiPriority w:val="99"/>
    <w:rPr>
      <w:rFonts w:ascii="Calibri" w:hAnsi="Calibri" w:eastAsia="宋体" w:cs="Calibri"/>
      <w:sz w:val="18"/>
      <w:szCs w:val="18"/>
    </w:rPr>
  </w:style>
  <w:style w:type="character" w:customStyle="1" w:styleId="12">
    <w:name w:val="页眉 Char1"/>
    <w:link w:val="4"/>
    <w:qFormat/>
    <w:locked/>
    <w:uiPriority w:val="99"/>
    <w:rPr>
      <w:rFonts w:ascii="Times New Roman" w:hAnsi="Times New Roman" w:eastAsia="宋体" w:cs="Times New Roman"/>
      <w:kern w:val="0"/>
      <w:sz w:val="18"/>
      <w:szCs w:val="18"/>
    </w:rPr>
  </w:style>
  <w:style w:type="character" w:customStyle="1" w:styleId="13">
    <w:name w:val="apple-converted-space"/>
    <w:basedOn w:val="6"/>
    <w:qFormat/>
    <w:uiPriority w:val="99"/>
  </w:style>
  <w:style w:type="character" w:customStyle="1" w:styleId="14">
    <w:name w:val="批注框文本 Char"/>
    <w:basedOn w:val="6"/>
    <w:semiHidden/>
    <w:qFormat/>
    <w:uiPriority w:val="99"/>
    <w:rPr>
      <w:rFonts w:ascii="Calibri" w:hAnsi="Calibri" w:eastAsia="宋体" w:cs="Calibri"/>
      <w:sz w:val="18"/>
      <w:szCs w:val="18"/>
    </w:rPr>
  </w:style>
  <w:style w:type="character" w:customStyle="1" w:styleId="15">
    <w:name w:val="批注框文本 Char1"/>
    <w:link w:val="2"/>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899</Words>
  <Characters>922</Characters>
  <Lines>35</Lines>
  <Paragraphs>10</Paragraphs>
  <TotalTime>0</TotalTime>
  <ScaleCrop>false</ScaleCrop>
  <LinksUpToDate>false</LinksUpToDate>
  <CharactersWithSpaces>978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2018-09-18T01:13:00Z</dcterms:created>
  <dc:creator>闻吉</dc:creator>
  <cp:lastModifiedBy>Catherineᵞ</cp:lastModifiedBy>
  <dcterms:modified xsi:type="dcterms:W3CDTF">2022-04-20T02:19:14Z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56ECDAAF774543389A7C482A22652536</vt:lpwstr>
  </property>
</Properties>
</file>